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bookmarkStart w:id="0" w:name="_GoBack"/>
      <w:bookmarkEnd w:id="0"/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 xml:space="preserve">Акционерное общество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(АО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 xml:space="preserve">», в лице директора Филиала «Ириклинская ГРЭС» 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</w:t>
      </w:r>
      <w:r w:rsidR="00A1648F">
        <w:rPr>
          <w:color w:val="000000"/>
        </w:rPr>
        <w:t>Рязанова Всеволода Вячеславовича</w:t>
      </w:r>
      <w:r w:rsidRPr="00102620">
        <w:rPr>
          <w:color w:val="000000"/>
        </w:rPr>
        <w:t>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_______________________(____________________________________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Новоорский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 xml:space="preserve">» АО «Интер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4D5BFE" w:rsidP="00102620">
            <w:pPr>
              <w:rPr>
                <w:color w:val="000000"/>
                <w:lang w:val="en-US"/>
              </w:rPr>
            </w:pPr>
            <w:r>
              <w:fldChar w:fldCharType="begin"/>
            </w:r>
            <w:r w:rsidRPr="000A4DD2">
              <w:rPr>
                <w:lang w:val="en-US"/>
              </w:rPr>
              <w:instrText xml:space="preserve"> HYPERLINK "mailto:secretary_sztec@interrao.ru" </w:instrText>
            </w:r>
            <w:r>
              <w:fldChar w:fldCharType="separate"/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e-mail: </w:t>
            </w:r>
            <w:r>
              <w:rPr>
                <w:color w:val="0563C1" w:themeColor="hyperlink"/>
                <w:u w:val="single"/>
                <w:lang w:val="en-US"/>
              </w:rPr>
              <w:fldChar w:fldCharType="end"/>
            </w:r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gramEnd"/>
            <w:r w:rsidRPr="00102620">
              <w:rPr>
                <w:color w:val="000000"/>
              </w:rPr>
              <w:t xml:space="preserve">Интер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</w:t>
            </w:r>
            <w:r w:rsidR="00A1648F">
              <w:rPr>
                <w:color w:val="000000"/>
              </w:rPr>
              <w:t>В.В. Рязанов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 xml:space="preserve">АО «Интер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«Интер</w:t>
            </w:r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A1648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 xml:space="preserve">______________________  </w:t>
            </w:r>
            <w:r w:rsidR="00A1648F">
              <w:rPr>
                <w:b/>
                <w:color w:val="000000"/>
              </w:rPr>
              <w:t>В.В. Рязанов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FE" w:rsidRDefault="004D5BFE" w:rsidP="00F63AFE">
      <w:r>
        <w:separator/>
      </w:r>
    </w:p>
  </w:endnote>
  <w:endnote w:type="continuationSeparator" w:id="0">
    <w:p w:rsidR="004D5BFE" w:rsidRDefault="004D5BFE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FE" w:rsidRDefault="004D5BFE" w:rsidP="00F63AFE">
      <w:r>
        <w:separator/>
      </w:r>
    </w:p>
  </w:footnote>
  <w:footnote w:type="continuationSeparator" w:id="0">
    <w:p w:rsidR="004D5BFE" w:rsidRDefault="004D5BFE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0647C4"/>
    <w:rsid w:val="000A4DD2"/>
    <w:rsid w:val="000E16E2"/>
    <w:rsid w:val="00102620"/>
    <w:rsid w:val="00144A75"/>
    <w:rsid w:val="00267880"/>
    <w:rsid w:val="00366E6C"/>
    <w:rsid w:val="0037011E"/>
    <w:rsid w:val="003F5629"/>
    <w:rsid w:val="00476533"/>
    <w:rsid w:val="004D5BFE"/>
    <w:rsid w:val="0063265A"/>
    <w:rsid w:val="00636773"/>
    <w:rsid w:val="00684927"/>
    <w:rsid w:val="006C7A89"/>
    <w:rsid w:val="006E2928"/>
    <w:rsid w:val="008D25D7"/>
    <w:rsid w:val="008E0ADE"/>
    <w:rsid w:val="0090686E"/>
    <w:rsid w:val="00907B07"/>
    <w:rsid w:val="0091669D"/>
    <w:rsid w:val="00920E11"/>
    <w:rsid w:val="0094768A"/>
    <w:rsid w:val="0099762E"/>
    <w:rsid w:val="009D7058"/>
    <w:rsid w:val="00A1648F"/>
    <w:rsid w:val="00AC64A2"/>
    <w:rsid w:val="00B3005A"/>
    <w:rsid w:val="00B52BC0"/>
    <w:rsid w:val="00C032A9"/>
    <w:rsid w:val="00CA1770"/>
    <w:rsid w:val="00CD0757"/>
    <w:rsid w:val="00D26548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11B8-C82B-4A91-87BA-BCFEFAD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16</cp:revision>
  <dcterms:created xsi:type="dcterms:W3CDTF">2018-10-22T09:10:00Z</dcterms:created>
  <dcterms:modified xsi:type="dcterms:W3CDTF">2020-01-21T11:07:00Z</dcterms:modified>
</cp:coreProperties>
</file>